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D" w:rsidRPr="00AD577C" w:rsidRDefault="00EF682D" w:rsidP="00EF682D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УСЛОВИЯ  ПИТАНИЯ</w:t>
      </w:r>
    </w:p>
    <w:p w:rsidR="00EF682D" w:rsidRPr="00EF682D" w:rsidRDefault="00EF682D" w:rsidP="00EF68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3DBB" w:rsidRDefault="00703DBB" w:rsidP="00D74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4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EF682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077C4">
        <w:rPr>
          <w:rFonts w:ascii="Times New Roman" w:hAnsi="Times New Roman" w:cs="Times New Roman"/>
          <w:sz w:val="28"/>
          <w:szCs w:val="28"/>
        </w:rPr>
        <w:t>в школьной столовой осуществляет</w:t>
      </w:r>
      <w:r w:rsidR="00EF682D">
        <w:rPr>
          <w:rFonts w:ascii="Times New Roman" w:hAnsi="Times New Roman" w:cs="Times New Roman"/>
          <w:sz w:val="28"/>
          <w:szCs w:val="28"/>
        </w:rPr>
        <w:t xml:space="preserve">ся на основании соглашения о взаимодействии и сотрудничестве от 11.01.16г. с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C4">
        <w:rPr>
          <w:rFonts w:ascii="Times New Roman" w:hAnsi="Times New Roman" w:cs="Times New Roman"/>
          <w:sz w:val="28"/>
          <w:szCs w:val="28"/>
        </w:rPr>
        <w:t>Муниципальн</w:t>
      </w:r>
      <w:r w:rsidR="00EF682D"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F682D">
        <w:rPr>
          <w:rFonts w:ascii="Times New Roman" w:hAnsi="Times New Roman" w:cs="Times New Roman"/>
          <w:sz w:val="28"/>
          <w:szCs w:val="28"/>
        </w:rPr>
        <w:t xml:space="preserve">ым  </w:t>
      </w:r>
      <w:r w:rsidRPr="00B077C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F682D">
        <w:rPr>
          <w:rFonts w:ascii="Times New Roman" w:hAnsi="Times New Roman" w:cs="Times New Roman"/>
          <w:sz w:val="28"/>
          <w:szCs w:val="28"/>
        </w:rPr>
        <w:t>м</w:t>
      </w:r>
      <w:r w:rsidRPr="00B0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C4">
        <w:rPr>
          <w:rFonts w:ascii="Times New Roman" w:hAnsi="Times New Roman" w:cs="Times New Roman"/>
          <w:sz w:val="28"/>
          <w:szCs w:val="28"/>
        </w:rPr>
        <w:t>"Школьное питание"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12B" w:rsidRDefault="0087412B" w:rsidP="009E0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DBB" w:rsidRDefault="00703DBB" w:rsidP="00D743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«Школьное питание» создано решением Комитета по управлению муниципальным имуществом города Кемерово № 639 от 09.04.2008 во исполнение распоряжения Главы города Кемерово № 1356 от 04.04.2008.</w:t>
      </w:r>
    </w:p>
    <w:p w:rsidR="0087412B" w:rsidRDefault="0087412B" w:rsidP="00703DB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12B" w:rsidRPr="00193C9D" w:rsidRDefault="0087412B" w:rsidP="008741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143125"/>
            <wp:effectExtent l="57150" t="38100" r="381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BB" w:rsidRPr="00B077C4" w:rsidRDefault="00703DBB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B84" w:rsidRDefault="00392B84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B82" w:rsidRPr="00927B82" w:rsidRDefault="00703DBB" w:rsidP="00927B82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B82">
        <w:rPr>
          <w:rFonts w:ascii="Times New Roman" w:hAnsi="Times New Roman" w:cs="Times New Roman"/>
          <w:sz w:val="32"/>
          <w:szCs w:val="32"/>
        </w:rPr>
        <w:t xml:space="preserve">Адрес учреждения: 650000, г. Кемерово, </w:t>
      </w:r>
      <w:r w:rsidRPr="00927B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</w:t>
      </w:r>
      <w:r w:rsidR="00927B82"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ица 2-я Заречная, 51а</w:t>
      </w:r>
    </w:p>
    <w:p w:rsidR="00927B82" w:rsidRPr="00927B82" w:rsidRDefault="00927B82" w:rsidP="00927B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27B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тел. 45-95-00,  э</w:t>
      </w:r>
      <w:r w:rsidRPr="00927B82">
        <w:rPr>
          <w:rFonts w:ascii="Times New Roman" w:hAnsi="Times New Roman" w:cs="Times New Roman"/>
          <w:color w:val="000000"/>
          <w:sz w:val="32"/>
          <w:szCs w:val="32"/>
        </w:rPr>
        <w:t xml:space="preserve">лектронный адрес: </w:t>
      </w:r>
      <w:hyperlink r:id="rId7" w:history="1">
        <w:r w:rsidRPr="00927B82">
          <w:rPr>
            <w:rStyle w:val="a9"/>
            <w:rFonts w:ascii="Times New Roman" w:hAnsi="Times New Roman" w:cs="Times New Roman"/>
            <w:color w:val="0E66C6"/>
            <w:sz w:val="32"/>
            <w:szCs w:val="32"/>
          </w:rPr>
          <w:t>sp@scf42.ru</w:t>
        </w:r>
      </w:hyperlink>
    </w:p>
    <w:p w:rsidR="00927B82" w:rsidRDefault="00927B82" w:rsidP="00703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59C" w:rsidRDefault="007B559C" w:rsidP="004E2C47">
      <w:pPr>
        <w:pStyle w:val="a4"/>
        <w:spacing w:before="97" w:beforeAutospacing="0" w:after="97" w:afterAutospacing="0"/>
        <w:ind w:left="138"/>
        <w:jc w:val="center"/>
        <w:rPr>
          <w:rStyle w:val="a5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5935345" cy="933450"/>
            <wp:effectExtent l="57150" t="38100" r="46355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276" t="21163" r="18396" b="6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33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2"/>
        <w:gridCol w:w="1826"/>
        <w:gridCol w:w="2697"/>
      </w:tblGrid>
      <w:tr w:rsidR="00703DBB" w:rsidRPr="00C55499" w:rsidTr="007B559C">
        <w:trPr>
          <w:tblCellSpacing w:w="0" w:type="dxa"/>
        </w:trPr>
        <w:tc>
          <w:tcPr>
            <w:tcW w:w="6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DBB" w:rsidRPr="00AB5306" w:rsidRDefault="00703DBB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DBB" w:rsidRPr="00AB5306" w:rsidRDefault="00703DBB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Цена, руб. 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(</w:t>
            </w:r>
            <w:proofErr w:type="gramStart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молочный</w:t>
            </w:r>
            <w:proofErr w:type="gramEnd"/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7B559C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7B559C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комплекс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7B559C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2-й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(мясной)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7B559C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AB5306"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559C" w:rsidRPr="00C55499" w:rsidTr="007B559C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59C" w:rsidRPr="00AB5306" w:rsidRDefault="007B559C" w:rsidP="00AB5306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продлённого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59C" w:rsidRPr="00927B82" w:rsidRDefault="007B559C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59C" w:rsidRPr="00927B82" w:rsidRDefault="007B559C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AB5306" w:rsidRPr="00C55499" w:rsidTr="007B559C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927B82" w:rsidRDefault="00927B82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AB5306"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B5306" w:rsidRPr="00C55499" w:rsidTr="007B559C">
        <w:trPr>
          <w:trHeight w:val="518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AB5306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0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306" w:rsidRPr="00927B82" w:rsidRDefault="00AB5306" w:rsidP="0083570B">
            <w:pPr>
              <w:spacing w:before="97" w:after="97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82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927B82" w:rsidRDefault="00927B82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469C7" w:rsidRDefault="007469C7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>Разнообразие и качество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школьного меню</w:t>
      </w:r>
    </w:p>
    <w:p w:rsidR="00AD577C" w:rsidRPr="00096E0F" w:rsidRDefault="00AD577C" w:rsidP="0074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469C7" w:rsidRPr="00096E0F" w:rsidRDefault="007469C7" w:rsidP="007B559C">
      <w:pPr>
        <w:spacing w:before="97" w:after="97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Технологическим отделом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«Школьное питание»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цикличное, разнообразное 20 дневное меню, исключающее повторяемость блюд. Все блюда приготовлены из продуктов, имеющих высокую пищевую ценность. Технология приготовления щадящая, что позволяет снизить потери всех полезных веще</w:t>
      </w:r>
      <w:proofErr w:type="gramStart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приготовлении.</w:t>
      </w:r>
    </w:p>
    <w:p w:rsidR="007469C7" w:rsidRPr="00096E0F" w:rsidRDefault="007469C7" w:rsidP="00746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«горячего завтрака» (мясной комплекс) входят: закуска (</w:t>
      </w:r>
      <w:r w:rsidR="004539A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вариантах одно их блюд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: салат, фрукт, кисломолочный продукт), основное блюдо (гарнир и блюдо из мяса или птицы или рыбы или субпродуктов), хлеб и напиток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(компот или горячий напиток или сок).</w:t>
      </w:r>
    </w:p>
    <w:p w:rsidR="007469C7" w:rsidRDefault="007469C7" w:rsidP="007469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«альтернативного завтрака» (молочный комплекс) входят кондитерское изделие промышленного производства или выпечка или порционный сыр или кисломолочный продукт или фрукт, блюда на основе молока или яиц или творога, хлеб, напиток.</w:t>
      </w:r>
    </w:p>
    <w:p w:rsidR="007469C7" w:rsidRPr="00096E0F" w:rsidRDefault="007469C7" w:rsidP="00703DBB">
      <w:pPr>
        <w:spacing w:before="277" w:after="100" w:afterAutospacing="1" w:line="240" w:lineRule="auto"/>
        <w:ind w:left="1554" w:firstLine="57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выходов блюд в комплексах.</w:t>
      </w:r>
    </w:p>
    <w:p w:rsidR="007469C7" w:rsidRPr="00096E0F" w:rsidRDefault="007469C7" w:rsidP="00AD577C">
      <w:pPr>
        <w:spacing w:before="97" w:after="97" w:line="240" w:lineRule="auto"/>
        <w:ind w:left="13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«Горячий завтрак» подразделяется на три вида: для 1-4 классов</w:t>
      </w:r>
      <w:r w:rsid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(1-й комплекс)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5-11классов</w:t>
      </w:r>
      <w:r w:rsid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(2-й комплекс)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, и мини комплекс.</w:t>
      </w:r>
    </w:p>
    <w:p w:rsidR="007469C7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этих комплексов одинаковый, отличие только в выходе блюд: выход гарнира, например, картофельного пюре, составляет 150г, 180г, и 100г соответственно. Выход горячего блюда, например котлеты, составляет 80г, 100г, и 50г соответственно</w:t>
      </w:r>
    </w:p>
    <w:p w:rsidR="00927B82" w:rsidRDefault="00927B82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9C7" w:rsidRPr="00096E0F" w:rsidRDefault="007469C7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sz w:val="28"/>
          <w:szCs w:val="28"/>
        </w:rPr>
        <w:t>Обновление меню с учетом сезона</w:t>
      </w:r>
    </w:p>
    <w:p w:rsidR="007469C7" w:rsidRDefault="007469C7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b/>
          <w:sz w:val="28"/>
          <w:szCs w:val="28"/>
        </w:rPr>
        <w:t>(осеннее, зимнее, весеннее, летнее)</w:t>
      </w:r>
    </w:p>
    <w:p w:rsidR="00AD577C" w:rsidRPr="00096E0F" w:rsidRDefault="00AD577C" w:rsidP="007469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9C7" w:rsidRDefault="007469C7" w:rsidP="00AD577C">
      <w:pPr>
        <w:spacing w:before="97" w:after="97" w:line="240" w:lineRule="auto"/>
        <w:ind w:left="138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 меню происходит регулярно 4 раза в год. Это связано как с учетом сезонности фруктов и овощей, например в зимнем варианте меню исключены свежие помидоры, огурцы и блюда из них, свежий виноград, сливы, так и с внедрением новинок в меню. Ни одно блюдо не попадает в меню случайно, оно разрабатывается с учетом Ваших пожеланий и материальных возможностей, в рамках допустимого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школьников ассортимента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Меню в обязательном порядке проходит согласование в органах </w:t>
      </w:r>
      <w:proofErr w:type="spellStart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9C7" w:rsidRPr="00096E0F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ECC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7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ВАЖНО!!!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имеете возможность на свое усмотрение выбрать любой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вкусовых предпочтений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ребёнка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69C7" w:rsidRPr="00096E0F" w:rsidRDefault="007469C7" w:rsidP="007469C7">
      <w:pPr>
        <w:spacing w:before="97" w:after="97" w:line="240" w:lineRule="auto"/>
        <w:ind w:lef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всеми вариантами меню Вы можете ознакомиться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 «Школьное питание»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55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лицея, </w:t>
      </w:r>
      <w:r w:rsidRPr="00096E0F">
        <w:rPr>
          <w:rFonts w:ascii="Times New Roman" w:eastAsia="Times New Roman" w:hAnsi="Times New Roman" w:cs="Times New Roman"/>
          <w:color w:val="000000"/>
          <w:sz w:val="28"/>
          <w:szCs w:val="28"/>
        </w:rPr>
        <w:t>меню так же на бумажном носителе предоставляется во все образовательные учреждения и вывешивается на информационных стендах школьных столовых.</w:t>
      </w:r>
    </w:p>
    <w:p w:rsidR="00D47F60" w:rsidRDefault="00D47F60"/>
    <w:sectPr w:rsidR="00D47F60" w:rsidSect="00927B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AC6"/>
    <w:multiLevelType w:val="multilevel"/>
    <w:tmpl w:val="28B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A5047"/>
    <w:multiLevelType w:val="hybridMultilevel"/>
    <w:tmpl w:val="193422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9C7"/>
    <w:rsid w:val="000060B6"/>
    <w:rsid w:val="00187F57"/>
    <w:rsid w:val="001D34FA"/>
    <w:rsid w:val="001E219A"/>
    <w:rsid w:val="00267A9C"/>
    <w:rsid w:val="00392B84"/>
    <w:rsid w:val="004539AC"/>
    <w:rsid w:val="004E2C47"/>
    <w:rsid w:val="00511B1B"/>
    <w:rsid w:val="00697AD4"/>
    <w:rsid w:val="00703DBB"/>
    <w:rsid w:val="007469C7"/>
    <w:rsid w:val="007B559C"/>
    <w:rsid w:val="00840754"/>
    <w:rsid w:val="0087412B"/>
    <w:rsid w:val="0092301D"/>
    <w:rsid w:val="00927B82"/>
    <w:rsid w:val="009E0B40"/>
    <w:rsid w:val="00A14E88"/>
    <w:rsid w:val="00AB5306"/>
    <w:rsid w:val="00AD577C"/>
    <w:rsid w:val="00C02D74"/>
    <w:rsid w:val="00C057E2"/>
    <w:rsid w:val="00D47F60"/>
    <w:rsid w:val="00D7433B"/>
    <w:rsid w:val="00DE6637"/>
    <w:rsid w:val="00E96ECC"/>
    <w:rsid w:val="00EC40A7"/>
    <w:rsid w:val="00EF682D"/>
    <w:rsid w:val="00F4058A"/>
    <w:rsid w:val="00F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5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p@scf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DF39-F9FE-4108-AF56-DDF466E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Алла</cp:lastModifiedBy>
  <cp:revision>17</cp:revision>
  <cp:lastPrinted>2015-09-30T01:31:00Z</cp:lastPrinted>
  <dcterms:created xsi:type="dcterms:W3CDTF">2015-09-30T01:12:00Z</dcterms:created>
  <dcterms:modified xsi:type="dcterms:W3CDTF">2017-09-08T01:19:00Z</dcterms:modified>
</cp:coreProperties>
</file>