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 xml:space="preserve">16 января педагог нашего лицея Ельцова Ольга Юрьевна поделилась своим опытом по формированию инженерного мышления на Всероссийском практико-ориентированный вебинаре «Пропедевтика инженерных компетенций младших </w:t>
      </w:r>
    </w:p>
    <w:p w14:paraId="02000000">
      <w:pPr>
        <w:pStyle w:val="Style_1"/>
      </w:pPr>
      <w:r>
        <w:t>школьников через урочную и внеурочную деятельность». Ольга Юрьевна представила вниманию коллег из 86 школ Российской Федерации доклад: "Формирование инженерного мышления на уроках математики в начальной школе".  Благодарим Ольгу Юрьевну, представившую качественный практико-ориентированный материал своей работы.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2024-01-18T17:33:25Z</dcterms:modified>
</cp:coreProperties>
</file>